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4E05">
      <w:pPr>
        <w:pStyle w:val="8"/>
        <w:jc w:val="left"/>
        <w:rPr>
          <w:rFonts w:ascii="方正公文小标宋" w:eastAsia="方正公文小标宋"/>
          <w:b w:val="0"/>
          <w:sz w:val="84"/>
          <w:szCs w:val="84"/>
          <w:lang w:eastAsia="zh-CN"/>
        </w:rPr>
      </w:pPr>
    </w:p>
    <w:p w14:paraId="1E7FEEDE">
      <w:pPr>
        <w:pStyle w:val="8"/>
        <w:jc w:val="left"/>
        <w:rPr>
          <w:rFonts w:ascii="方正公文小标宋" w:eastAsia="方正公文小标宋"/>
          <w:b w:val="0"/>
          <w:sz w:val="84"/>
          <w:szCs w:val="84"/>
          <w:lang w:eastAsia="zh-CN"/>
        </w:rPr>
      </w:pPr>
    </w:p>
    <w:p w14:paraId="3720889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辽宁省铁岭市昌图县亮中桥镇</w:t>
      </w:r>
    </w:p>
    <w:p w14:paraId="57BE164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109DF648">
      <w:pPr>
        <w:rPr>
          <w:rFonts w:ascii="方正公文小标宋" w:eastAsia="方正公文小标宋"/>
          <w:sz w:val="84"/>
          <w:szCs w:val="84"/>
          <w:lang w:eastAsia="zh-CN"/>
        </w:rPr>
      </w:pPr>
    </w:p>
    <w:p w14:paraId="1054111F">
      <w:pPr>
        <w:rPr>
          <w:rFonts w:ascii="方正公文小标宋" w:eastAsia="方正公文小标宋"/>
          <w:sz w:val="84"/>
          <w:szCs w:val="84"/>
          <w:lang w:eastAsia="zh-CN"/>
        </w:rPr>
      </w:pPr>
    </w:p>
    <w:p w14:paraId="2FF5B76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45CE57F">
          <w:pPr>
            <w:pStyle w:val="2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131F5F2">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2"/>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2"/>
              <w:rFonts w:eastAsia="方正公文小标宋" w:cs="Times New Roman"/>
              <w:b w:val="0"/>
              <w:bCs w:val="0"/>
              <w:lang w:eastAsia="zh-CN"/>
            </w:rPr>
            <w:t>清单</w:t>
          </w:r>
          <w:r>
            <w:rPr>
              <w:rStyle w:val="12"/>
              <w:rFonts w:eastAsia="方正公文小标宋" w:cs="Times New Roman"/>
              <w:b w:val="0"/>
              <w:bCs w:val="0"/>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162F4CF">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2"/>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2"/>
              <w:rFonts w:eastAsia="方正公文小标宋" w:cs="Times New Roman"/>
              <w:b w:val="0"/>
              <w:bCs w:val="0"/>
              <w:lang w:eastAsia="zh-CN"/>
            </w:rPr>
            <w:t>清单</w:t>
          </w:r>
          <w:r>
            <w:rPr>
              <w:rStyle w:val="12"/>
              <w:rFonts w:eastAsia="方正公文小标宋" w:cs="Times New Roman"/>
              <w:b w:val="0"/>
              <w:bCs w:val="0"/>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13</w:t>
          </w:r>
        </w:p>
        <w:p w14:paraId="73851331">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2"/>
              <w:rFonts w:hint="eastAsia" w:eastAsia="方正公文小标宋" w:cs="Times New Roman"/>
              <w:b w:val="0"/>
              <w:bCs w:val="0"/>
              <w:lang w:eastAsia="zh-CN"/>
            </w:rPr>
            <w:t>上级部门收回事项清单</w:t>
          </w:r>
          <w:r>
            <w:rPr>
              <w:rStyle w:val="12"/>
              <w:rFonts w:hint="eastAsia" w:eastAsia="方正公文小标宋" w:cs="Times New Roman"/>
              <w:b w:val="0"/>
              <w:bCs w:val="0"/>
              <w:lang w:eastAsia="zh-CN"/>
            </w:rPr>
            <w:fldChar w:fldCharType="end"/>
          </w:r>
          <w:r>
            <w:rPr>
              <w:rFonts w:cs="Times New Roman"/>
              <w:b w:val="0"/>
              <w:bCs w:val="0"/>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55</w:t>
          </w:r>
        </w:p>
      </w:sdtContent>
    </w:sdt>
    <w:p w14:paraId="76FC1598">
      <w:pPr>
        <w:pStyle w:val="8"/>
        <w:jc w:val="both"/>
        <w:rPr>
          <w:rFonts w:ascii="Times New Roman" w:hAnsi="Times New Roman" w:eastAsia="方正小标宋_GBK" w:cs="Times New Roman"/>
          <w:color w:val="auto"/>
          <w:spacing w:val="7"/>
          <w:sz w:val="44"/>
          <w:szCs w:val="44"/>
          <w:lang w:eastAsia="zh-CN"/>
        </w:rPr>
      </w:pPr>
    </w:p>
    <w:p w14:paraId="3B63BCC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AF30E9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2B3A312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F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4A1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79F3C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6B89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一、党的建设（23项）</w:t>
            </w:r>
          </w:p>
        </w:tc>
      </w:tr>
      <w:tr w14:paraId="7F75E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64CFB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4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7C4B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6A55A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0710C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7FA65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3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1C44A2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F51B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4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3B75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2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EEA5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1755A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4723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2286F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2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8B5B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7E35E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F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75093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30995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充分发挥党建引领作用，关心关爱新就业群体，开展快递小哥“爱新港湾”建设，为新就业群体提供暖心服务</w:t>
            </w:r>
          </w:p>
        </w:tc>
      </w:tr>
      <w:tr w14:paraId="58AA1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9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2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5F00E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A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69A28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22669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1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40AF9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9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63F9B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8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4000D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85B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二、经济发展（14项）</w:t>
            </w:r>
          </w:p>
        </w:tc>
      </w:tr>
      <w:tr w14:paraId="47302F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2F18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围绕乡镇重点产业，制定年度产业项目计划，做好项目包装，推进产业项目落地、建设、投产和服务保障工作</w:t>
            </w:r>
          </w:p>
        </w:tc>
      </w:tr>
      <w:tr w14:paraId="73EB4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0C697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F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5226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1F7F7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F3B1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E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504FD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4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01581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6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3C409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6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4119C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9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1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6531C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9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6CF37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1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86AF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C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1D38FB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0803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三、民生服务（19项）</w:t>
            </w:r>
          </w:p>
        </w:tc>
      </w:tr>
      <w:tr w14:paraId="03401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20A96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B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0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1C90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F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14AD9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F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D6A4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3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594C2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1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53046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E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67288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C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00C32F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6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00916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6F8C30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8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2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47D94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A403C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0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6D094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D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8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32189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EE29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9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C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0703C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3C605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1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719B3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D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F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4965C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91C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03AB4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8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4A1ED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0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5F937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7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1977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E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E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E41D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A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4304BA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968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五、乡村振兴（18项）</w:t>
            </w:r>
          </w:p>
        </w:tc>
      </w:tr>
      <w:tr w14:paraId="59726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55A53A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7F8D5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8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35F4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D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73B3A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6115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9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1A30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C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00BC9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2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F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3BD788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3A443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1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3AE5C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D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66F2E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5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634F7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D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3997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3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337B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3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B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2A97C5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4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724CC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8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F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4716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做好“一村一品”工作，加强永丰村白酒和东兴村鲜食玉米等品牌建设，促进永丰、杨木、万安等村豆制品品牌建设，推动乡村特色产业发展</w:t>
            </w:r>
          </w:p>
        </w:tc>
      </w:tr>
      <w:tr w14:paraId="316BAA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E45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六、生态环保（9项）</w:t>
            </w:r>
          </w:p>
        </w:tc>
      </w:tr>
      <w:tr w14:paraId="26BB3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38245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D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583B2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53F0E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3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0FB2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3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18CE1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E0E6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5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0B27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0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7B45C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2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06B78E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AA4B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七、城乡建设（11项）</w:t>
            </w:r>
          </w:p>
        </w:tc>
      </w:tr>
      <w:tr w14:paraId="6CC91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5AC41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2CB0F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1C974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4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3E247C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B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2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E0F2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C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4D484F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738C4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B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50AB1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A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C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015BB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F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1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50C0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2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6468DC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064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八、文化和旅游（3项）</w:t>
            </w:r>
          </w:p>
        </w:tc>
      </w:tr>
      <w:tr w14:paraId="7FC76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5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3CBD1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C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推动“亮中桥镇手工干豆腐制作技艺”等非物质文化遗产传承和发展</w:t>
            </w:r>
          </w:p>
        </w:tc>
      </w:tr>
      <w:tr w14:paraId="2AC9D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8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17A09F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3E2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九、应急管理及消防（4项）</w:t>
            </w:r>
          </w:p>
        </w:tc>
      </w:tr>
      <w:tr w14:paraId="4A1DA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2AAF3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3190F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8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8653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9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3540F5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3AED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十、综合政务（13项）</w:t>
            </w:r>
          </w:p>
        </w:tc>
      </w:tr>
      <w:tr w14:paraId="47C20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12C4A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2652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9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48480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0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B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1EF045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2B137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C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4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092E2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3260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57840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8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5D6A7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A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B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68332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C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AE3B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9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615E1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7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226E7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45A891">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21D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52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68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E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5DC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2CA8DF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44EF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一、党的建设（7项）</w:t>
            </w:r>
          </w:p>
        </w:tc>
      </w:tr>
      <w:tr w14:paraId="68D436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5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49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E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3F9AE3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3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A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5B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1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7CE6B9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1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1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C6529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D7B1A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7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1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721B01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A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26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45D8B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95D86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8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DA184F9">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A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EF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C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331B5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4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20AD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D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4FEC6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2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AA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9480F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C04E6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F834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3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0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6F81A2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7537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二、经济发展（7项）</w:t>
            </w:r>
          </w:p>
        </w:tc>
      </w:tr>
      <w:tr w14:paraId="7F73A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A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850945F">
        <w:tblPrEx>
          <w:tblCellMar>
            <w:top w:w="0" w:type="dxa"/>
            <w:left w:w="108" w:type="dxa"/>
            <w:bottom w:w="0" w:type="dxa"/>
            <w:right w:w="108" w:type="dxa"/>
          </w:tblCellMar>
        </w:tblPrEx>
        <w:trPr>
          <w:cantSplit/>
          <w:trHeight w:val="1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5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C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C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4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156689A0">
        <w:tblPrEx>
          <w:tblCellMar>
            <w:top w:w="0" w:type="dxa"/>
            <w:left w:w="108" w:type="dxa"/>
            <w:bottom w:w="0" w:type="dxa"/>
            <w:right w:w="108" w:type="dxa"/>
          </w:tblCellMar>
        </w:tblPrEx>
        <w:trPr>
          <w:cantSplit/>
          <w:trHeight w:val="19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0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42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0CFCDB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2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F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3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55AD4017">
        <w:tblPrEx>
          <w:tblCellMar>
            <w:top w:w="0" w:type="dxa"/>
            <w:left w:w="108" w:type="dxa"/>
            <w:bottom w:w="0" w:type="dxa"/>
            <w:right w:w="108" w:type="dxa"/>
          </w:tblCellMar>
        </w:tblPrEx>
        <w:trPr>
          <w:cantSplit/>
          <w:trHeight w:val="2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C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0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6F26D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3B76BC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FE9B7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6941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三、民生服务（25项）</w:t>
            </w:r>
          </w:p>
        </w:tc>
      </w:tr>
      <w:tr w14:paraId="1233D8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0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1B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A5C5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1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D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357C10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9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0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B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E68D5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1649B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C764">
            <w:pPr>
              <w:widowControl/>
              <w:spacing w:line="250" w:lineRule="exac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887">
            <w:pPr>
              <w:widowControl/>
              <w:spacing w:line="250" w:lineRule="exac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6B1F8057">
        <w:tblPrEx>
          <w:tblCellMar>
            <w:top w:w="0" w:type="dxa"/>
            <w:left w:w="108" w:type="dxa"/>
            <w:bottom w:w="0" w:type="dxa"/>
            <w:right w:w="108" w:type="dxa"/>
          </w:tblCellMar>
        </w:tblPrEx>
        <w:trPr>
          <w:cantSplit/>
          <w:trHeight w:val="21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4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28594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939BE2B">
        <w:tblPrEx>
          <w:tblCellMar>
            <w:top w:w="0" w:type="dxa"/>
            <w:left w:w="108" w:type="dxa"/>
            <w:bottom w:w="0" w:type="dxa"/>
            <w:right w:w="108" w:type="dxa"/>
          </w:tblCellMar>
        </w:tblPrEx>
        <w:trPr>
          <w:cantSplit/>
          <w:trHeight w:val="2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4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8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3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872DE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5D6338DF">
        <w:tblPrEx>
          <w:tblCellMar>
            <w:top w:w="0" w:type="dxa"/>
            <w:left w:w="108" w:type="dxa"/>
            <w:bottom w:w="0" w:type="dxa"/>
            <w:right w:w="108" w:type="dxa"/>
          </w:tblCellMar>
        </w:tblPrEx>
        <w:trPr>
          <w:cantSplit/>
          <w:trHeight w:val="33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9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E14">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
县社会保障事务服务中心</w:t>
            </w:r>
          </w:p>
          <w:p w14:paraId="446E83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974B0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5DA808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3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F9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2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8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39C64788">
        <w:tblPrEx>
          <w:tblCellMar>
            <w:top w:w="0" w:type="dxa"/>
            <w:left w:w="108" w:type="dxa"/>
            <w:bottom w:w="0" w:type="dxa"/>
            <w:right w:w="108" w:type="dxa"/>
          </w:tblCellMar>
        </w:tblPrEx>
        <w:trPr>
          <w:cantSplit/>
          <w:trHeight w:val="1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4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076378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3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7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0CE04B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A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9B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B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E063C05">
        <w:tblPrEx>
          <w:tblCellMar>
            <w:top w:w="0" w:type="dxa"/>
            <w:left w:w="108" w:type="dxa"/>
            <w:bottom w:w="0" w:type="dxa"/>
            <w:right w:w="108" w:type="dxa"/>
          </w:tblCellMar>
        </w:tblPrEx>
        <w:trPr>
          <w:cantSplit/>
          <w:trHeight w:val="27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7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4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DC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9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67A94F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8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51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CE6A7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8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D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0BE5EA7D">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3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6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0AF416E0">
        <w:tblPrEx>
          <w:tblCellMar>
            <w:top w:w="0" w:type="dxa"/>
            <w:left w:w="108" w:type="dxa"/>
            <w:bottom w:w="0" w:type="dxa"/>
            <w:right w:w="108" w:type="dxa"/>
          </w:tblCellMar>
        </w:tblPrEx>
        <w:trPr>
          <w:cantSplit/>
          <w:trHeight w:val="28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A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49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4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416959A">
        <w:tblPrEx>
          <w:tblCellMar>
            <w:top w:w="0" w:type="dxa"/>
            <w:left w:w="108" w:type="dxa"/>
            <w:bottom w:w="0" w:type="dxa"/>
            <w:right w:w="108" w:type="dxa"/>
          </w:tblCellMar>
        </w:tblPrEx>
        <w:trPr>
          <w:cantSplit/>
          <w:trHeight w:val="31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2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4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ADC5E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C5A7A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65F82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E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0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A4644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D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C6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52C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3A5C0696">
        <w:tblPrEx>
          <w:tblCellMar>
            <w:top w:w="0" w:type="dxa"/>
            <w:left w:w="108" w:type="dxa"/>
            <w:bottom w:w="0" w:type="dxa"/>
            <w:right w:w="108" w:type="dxa"/>
          </w:tblCellMar>
        </w:tblPrEx>
        <w:trPr>
          <w:cantSplit/>
          <w:trHeight w:val="20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D7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9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D24D0A9">
        <w:tblPrEx>
          <w:tblCellMar>
            <w:top w:w="0" w:type="dxa"/>
            <w:left w:w="108" w:type="dxa"/>
            <w:bottom w:w="0" w:type="dxa"/>
            <w:right w:w="108" w:type="dxa"/>
          </w:tblCellMar>
        </w:tblPrEx>
        <w:trPr>
          <w:cantSplit/>
          <w:trHeight w:val="20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8FF1">
            <w:pPr>
              <w:widowControl/>
              <w:numPr>
                <w:ilvl w:val="0"/>
                <w:numId w:val="0"/>
              </w:numPr>
              <w:kinsoku/>
              <w:spacing w:before="0" w:beforeLines="0" w:after="0" w:afterLines="0"/>
              <w:ind w:left="425" w:leftChars="0" w:hanging="425" w:firstLineChars="0"/>
              <w:jc w:val="center"/>
              <w:textAlignment w:val="center"/>
              <w:rPr>
                <w:rFonts w:hint="eastAsia" w:ascii="Times New Roman" w:hAnsi="方正公文仿宋" w:eastAsia="方正公文仿宋"/>
                <w:szCs w:val="21"/>
              </w:rPr>
            </w:pPr>
            <w:r>
              <w:rPr>
                <w:rFonts w:hint="default" w:ascii="Times New Roman" w:hAnsi="方正公文仿宋" w:eastAsia="方正公文仿宋" w:cs="Arial"/>
                <w:snapToGrid w:val="0"/>
                <w:color w:val="000000"/>
                <w:kern w:val="0"/>
                <w:sz w:val="21"/>
                <w:szCs w:val="21"/>
                <w:lang w:val="en-US" w:eastAsia="en-US" w:bidi="ar-SA"/>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C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AD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1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665036AB">
        <w:tblPrEx>
          <w:tblCellMar>
            <w:top w:w="0" w:type="dxa"/>
            <w:left w:w="108" w:type="dxa"/>
            <w:bottom w:w="0" w:type="dxa"/>
            <w:right w:w="108" w:type="dxa"/>
          </w:tblCellMar>
        </w:tblPrEx>
        <w:trPr>
          <w:cantSplit/>
          <w:trHeight w:val="2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A1C3">
            <w:pPr>
              <w:widowControl/>
              <w:numPr>
                <w:ilvl w:val="0"/>
                <w:numId w:val="0"/>
              </w:numPr>
              <w:kinsoku/>
              <w:spacing w:before="0" w:beforeLines="0" w:after="0" w:afterLines="0"/>
              <w:ind w:leftChar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2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县退役军人</w:t>
            </w:r>
          </w:p>
          <w:p w14:paraId="132737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A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2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059DFB3E">
        <w:tblPrEx>
          <w:tblCellMar>
            <w:top w:w="0" w:type="dxa"/>
            <w:left w:w="108" w:type="dxa"/>
            <w:bottom w:w="0" w:type="dxa"/>
            <w:right w:w="108" w:type="dxa"/>
          </w:tblCellMar>
        </w:tblPrEx>
        <w:trPr>
          <w:cantSplit/>
          <w:trHeight w:val="23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B5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C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15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县退役军人</w:t>
            </w:r>
          </w:p>
          <w:p w14:paraId="646819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6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8B4C0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33F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76062D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84B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7BE">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县残疾人联合会</w:t>
            </w:r>
          </w:p>
          <w:p w14:paraId="5229AA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CDCD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7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6DA3C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EBB2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四、平安法治（4项）</w:t>
            </w:r>
          </w:p>
        </w:tc>
      </w:tr>
      <w:tr w14:paraId="48C7BAF9">
        <w:tblPrEx>
          <w:tblCellMar>
            <w:top w:w="0" w:type="dxa"/>
            <w:left w:w="108" w:type="dxa"/>
            <w:bottom w:w="0" w:type="dxa"/>
            <w:right w:w="108" w:type="dxa"/>
          </w:tblCellMar>
        </w:tblPrEx>
        <w:trPr>
          <w:cantSplit/>
          <w:trHeight w:val="30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740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9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9672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4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25C0690">
        <w:tblPrEx>
          <w:tblCellMar>
            <w:top w:w="0" w:type="dxa"/>
            <w:left w:w="108" w:type="dxa"/>
            <w:bottom w:w="0" w:type="dxa"/>
            <w:right w:w="108" w:type="dxa"/>
          </w:tblCellMar>
        </w:tblPrEx>
        <w:trPr>
          <w:cantSplit/>
          <w:trHeight w:val="20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4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24AAD8BC">
        <w:tblPrEx>
          <w:tblCellMar>
            <w:top w:w="0" w:type="dxa"/>
            <w:left w:w="108" w:type="dxa"/>
            <w:bottom w:w="0" w:type="dxa"/>
            <w:right w:w="108" w:type="dxa"/>
          </w:tblCellMar>
        </w:tblPrEx>
        <w:trPr>
          <w:cantSplit/>
          <w:trHeight w:val="27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A7F4">
            <w:pPr>
              <w:widowControl/>
              <w:kinsoku/>
              <w:spacing w:before="0" w:beforeLines="0" w:after="0" w:afterLines="0"/>
              <w:jc w:val="center"/>
              <w:textAlignment w:val="center"/>
              <w:rPr>
                <w:rFonts w:hint="default"/>
                <w:lang w:val="en-US" w:eastAsia="zh-CN"/>
              </w:rPr>
            </w:pPr>
            <w:r>
              <w:rPr>
                <w:rFonts w:hint="eastAsia" w:ascii="Times New Roman" w:hAnsi="方正公文仿宋" w:eastAsia="方正公文仿宋"/>
                <w:szCs w:val="21"/>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26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0D6175C1">
        <w:tblPrEx>
          <w:tblCellMar>
            <w:top w:w="0" w:type="dxa"/>
            <w:left w:w="108" w:type="dxa"/>
            <w:bottom w:w="0" w:type="dxa"/>
            <w:right w:w="108" w:type="dxa"/>
          </w:tblCellMar>
        </w:tblPrEx>
        <w:trPr>
          <w:cantSplit/>
          <w:trHeight w:val="42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D26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8C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B08172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75DB5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1FCE6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58B4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五、乡村振兴（22项）</w:t>
            </w:r>
          </w:p>
        </w:tc>
      </w:tr>
      <w:tr w14:paraId="2FDBB507">
        <w:tblPrEx>
          <w:tblCellMar>
            <w:top w:w="0" w:type="dxa"/>
            <w:left w:w="108" w:type="dxa"/>
            <w:bottom w:w="0" w:type="dxa"/>
            <w:right w:w="108" w:type="dxa"/>
          </w:tblCellMar>
        </w:tblPrEx>
        <w:trPr>
          <w:cantSplit/>
          <w:trHeight w:val="31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3B9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5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37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7449842B">
        <w:tblPrEx>
          <w:tblCellMar>
            <w:top w:w="0" w:type="dxa"/>
            <w:left w:w="108" w:type="dxa"/>
            <w:bottom w:w="0" w:type="dxa"/>
            <w:right w:w="108" w:type="dxa"/>
          </w:tblCellMar>
        </w:tblPrEx>
        <w:trPr>
          <w:cantSplit/>
          <w:trHeight w:val="3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6B3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18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17C5B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D16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5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81376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8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022BA30F">
        <w:tblPrEx>
          <w:tblCellMar>
            <w:top w:w="0" w:type="dxa"/>
            <w:left w:w="108" w:type="dxa"/>
            <w:bottom w:w="0" w:type="dxa"/>
            <w:right w:w="108" w:type="dxa"/>
          </w:tblCellMar>
        </w:tblPrEx>
        <w:trPr>
          <w:cantSplit/>
          <w:trHeight w:val="16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8EB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39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7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A5C434C">
        <w:tblPrEx>
          <w:tblCellMar>
            <w:top w:w="0" w:type="dxa"/>
            <w:left w:w="108" w:type="dxa"/>
            <w:bottom w:w="0" w:type="dxa"/>
            <w:right w:w="108" w:type="dxa"/>
          </w:tblCellMar>
        </w:tblPrEx>
        <w:trPr>
          <w:cantSplit/>
          <w:trHeight w:val="4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F83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6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29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DEF49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ED6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A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9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157F09F">
        <w:tblPrEx>
          <w:tblCellMar>
            <w:top w:w="0" w:type="dxa"/>
            <w:left w:w="108" w:type="dxa"/>
            <w:bottom w:w="0" w:type="dxa"/>
            <w:right w:w="108" w:type="dxa"/>
          </w:tblCellMar>
        </w:tblPrEx>
        <w:trPr>
          <w:cantSplit/>
          <w:trHeight w:val="20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75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5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5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11C10FA">
        <w:tblPrEx>
          <w:tblCellMar>
            <w:top w:w="0" w:type="dxa"/>
            <w:left w:w="108" w:type="dxa"/>
            <w:bottom w:w="0" w:type="dxa"/>
            <w:right w:w="108" w:type="dxa"/>
          </w:tblCellMar>
        </w:tblPrEx>
        <w:trPr>
          <w:cantSplit/>
          <w:trHeight w:val="20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73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A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034E4C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204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6A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8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5F31D022">
        <w:tblPrEx>
          <w:tblCellMar>
            <w:top w:w="0" w:type="dxa"/>
            <w:left w:w="108" w:type="dxa"/>
            <w:bottom w:w="0" w:type="dxa"/>
            <w:right w:w="108" w:type="dxa"/>
          </w:tblCellMar>
        </w:tblPrEx>
        <w:trPr>
          <w:cantSplit/>
          <w:trHeight w:val="3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69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D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A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22DDCBC0">
        <w:tblPrEx>
          <w:tblCellMar>
            <w:top w:w="0" w:type="dxa"/>
            <w:left w:w="108" w:type="dxa"/>
            <w:bottom w:w="0" w:type="dxa"/>
            <w:right w:w="108" w:type="dxa"/>
          </w:tblCellMar>
        </w:tblPrEx>
        <w:trPr>
          <w:cantSplit/>
          <w:trHeight w:val="27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0EE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8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1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6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EF25752">
        <w:tblPrEx>
          <w:tblCellMar>
            <w:top w:w="0" w:type="dxa"/>
            <w:left w:w="108" w:type="dxa"/>
            <w:bottom w:w="0" w:type="dxa"/>
            <w:right w:w="108" w:type="dxa"/>
          </w:tblCellMar>
        </w:tblPrEx>
        <w:trPr>
          <w:cantSplit/>
          <w:trHeight w:val="2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D32C">
            <w:pPr>
              <w:widowControl/>
              <w:kinsoku/>
              <w:spacing w:before="0" w:beforeLines="0" w:after="0" w:afterLines="0"/>
              <w:jc w:val="center"/>
              <w:textAlignment w:val="center"/>
              <w:rPr>
                <w:rFonts w:hint="eastAsia"/>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C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1F4B1E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FDF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4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0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1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19CB057C">
        <w:tblPrEx>
          <w:tblCellMar>
            <w:top w:w="0" w:type="dxa"/>
            <w:left w:w="108" w:type="dxa"/>
            <w:bottom w:w="0" w:type="dxa"/>
            <w:right w:w="108" w:type="dxa"/>
          </w:tblCellMar>
        </w:tblPrEx>
        <w:trPr>
          <w:cantSplit/>
          <w:trHeight w:val="22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C86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0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59845FE0">
        <w:tblPrEx>
          <w:tblCellMar>
            <w:top w:w="0" w:type="dxa"/>
            <w:left w:w="108" w:type="dxa"/>
            <w:bottom w:w="0" w:type="dxa"/>
            <w:right w:w="108" w:type="dxa"/>
          </w:tblCellMar>
        </w:tblPrEx>
        <w:trPr>
          <w:cantSplit/>
          <w:trHeight w:val="30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016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9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3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D9F4AC6">
        <w:tblPrEx>
          <w:tblCellMar>
            <w:top w:w="0" w:type="dxa"/>
            <w:left w:w="108" w:type="dxa"/>
            <w:bottom w:w="0" w:type="dxa"/>
            <w:right w:w="108" w:type="dxa"/>
          </w:tblCellMar>
        </w:tblPrEx>
        <w:trPr>
          <w:cantSplit/>
          <w:trHeight w:val="2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714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0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9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040877C">
        <w:tblPrEx>
          <w:tblCellMar>
            <w:top w:w="0" w:type="dxa"/>
            <w:left w:w="108" w:type="dxa"/>
            <w:bottom w:w="0" w:type="dxa"/>
            <w:right w:w="108" w:type="dxa"/>
          </w:tblCellMar>
        </w:tblPrEx>
        <w:trPr>
          <w:cantSplit/>
          <w:trHeight w:val="2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57E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E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7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A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19E61952">
        <w:tblPrEx>
          <w:tblCellMar>
            <w:top w:w="0" w:type="dxa"/>
            <w:left w:w="108" w:type="dxa"/>
            <w:bottom w:w="0" w:type="dxa"/>
            <w:right w:w="108" w:type="dxa"/>
          </w:tblCellMar>
        </w:tblPrEx>
        <w:trPr>
          <w:cantSplit/>
          <w:trHeight w:val="15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9B0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B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1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50C2721">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34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9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6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12FCD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617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0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9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55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6DFA5BB8">
        <w:tblPrEx>
          <w:tblCellMar>
            <w:top w:w="0" w:type="dxa"/>
            <w:left w:w="108" w:type="dxa"/>
            <w:bottom w:w="0" w:type="dxa"/>
            <w:right w:w="108" w:type="dxa"/>
          </w:tblCellMar>
        </w:tblPrEx>
        <w:trPr>
          <w:cantSplit/>
          <w:trHeight w:val="10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CF6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9C30">
            <w:pPr>
              <w:widowControl/>
              <w:kinsoku/>
              <w:spacing w:before="0" w:beforeLines="0" w:after="0" w:afterLines="0"/>
              <w:jc w:val="center"/>
              <w:textAlignment w:val="auto"/>
              <w:rPr>
                <w:rFonts w:hint="eastAsia"/>
                <w:lang w:val="en-US" w:eastAsia="en-US"/>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A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4DF5886F">
        <w:tblPrEx>
          <w:tblCellMar>
            <w:top w:w="0" w:type="dxa"/>
            <w:left w:w="108" w:type="dxa"/>
            <w:bottom w:w="0" w:type="dxa"/>
            <w:right w:w="108" w:type="dxa"/>
          </w:tblCellMar>
        </w:tblPrEx>
        <w:trPr>
          <w:cantSplit/>
          <w:trHeight w:val="1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345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B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4AA5AF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0F0F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六、自然资源（15项）</w:t>
            </w:r>
          </w:p>
        </w:tc>
      </w:tr>
      <w:tr w14:paraId="7E10EAF6">
        <w:tblPrEx>
          <w:tblCellMar>
            <w:top w:w="0" w:type="dxa"/>
            <w:left w:w="108" w:type="dxa"/>
            <w:bottom w:w="0" w:type="dxa"/>
            <w:right w:w="108" w:type="dxa"/>
          </w:tblCellMar>
        </w:tblPrEx>
        <w:trPr>
          <w:cantSplit/>
          <w:trHeight w:val="29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6E7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6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9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94510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B37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B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502E265E">
        <w:tblPrEx>
          <w:tblCellMar>
            <w:top w:w="0" w:type="dxa"/>
            <w:left w:w="108" w:type="dxa"/>
            <w:bottom w:w="0" w:type="dxa"/>
            <w:right w:w="108" w:type="dxa"/>
          </w:tblCellMar>
        </w:tblPrEx>
        <w:trPr>
          <w:cantSplit/>
          <w:trHeight w:val="22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CB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0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A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4D0A9F3C">
        <w:tblPrEx>
          <w:tblCellMar>
            <w:top w:w="0" w:type="dxa"/>
            <w:left w:w="108" w:type="dxa"/>
            <w:bottom w:w="0" w:type="dxa"/>
            <w:right w:w="108" w:type="dxa"/>
          </w:tblCellMar>
        </w:tblPrEx>
        <w:trPr>
          <w:cantSplit/>
          <w:trHeight w:val="18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68C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D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1.对全县矿产资源勘查、开采活动进行监督管理；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对辖区内矿产资源勘查、开采活动进行巡查，发现违法违规行为及时制止并上报。</w:t>
            </w:r>
          </w:p>
        </w:tc>
      </w:tr>
      <w:tr w14:paraId="09B033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4BE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5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04EE47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C2F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4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40C35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FE1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4617E01F">
        <w:tblPrEx>
          <w:tblCellMar>
            <w:top w:w="0" w:type="dxa"/>
            <w:left w:w="108" w:type="dxa"/>
            <w:bottom w:w="0" w:type="dxa"/>
            <w:right w:w="108" w:type="dxa"/>
          </w:tblCellMar>
        </w:tblPrEx>
        <w:trPr>
          <w:cantSplit/>
          <w:trHeight w:val="13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0B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3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2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C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6AC7E859">
        <w:tblPrEx>
          <w:tblCellMar>
            <w:top w:w="0" w:type="dxa"/>
            <w:left w:w="108" w:type="dxa"/>
            <w:bottom w:w="0" w:type="dxa"/>
            <w:right w:w="108" w:type="dxa"/>
          </w:tblCellMar>
        </w:tblPrEx>
        <w:trPr>
          <w:cantSplit/>
          <w:trHeight w:val="23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E97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9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3033B964">
        <w:tblPrEx>
          <w:tblCellMar>
            <w:top w:w="0" w:type="dxa"/>
            <w:left w:w="108" w:type="dxa"/>
            <w:bottom w:w="0" w:type="dxa"/>
            <w:right w:w="108" w:type="dxa"/>
          </w:tblCellMar>
        </w:tblPrEx>
        <w:trPr>
          <w:cantSplit/>
          <w:trHeight w:val="23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F0F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2C85591D">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93B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F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F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4391A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5D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6E67D8DD">
        <w:tblPrEx>
          <w:tblCellMar>
            <w:top w:w="0" w:type="dxa"/>
            <w:left w:w="108" w:type="dxa"/>
            <w:bottom w:w="0" w:type="dxa"/>
            <w:right w:w="108" w:type="dxa"/>
          </w:tblCellMar>
        </w:tblPrEx>
        <w:trPr>
          <w:cantSplit/>
          <w:trHeight w:val="19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B12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9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6DFB0E75">
        <w:tblPrEx>
          <w:tblCellMar>
            <w:top w:w="0" w:type="dxa"/>
            <w:left w:w="108" w:type="dxa"/>
            <w:bottom w:w="0" w:type="dxa"/>
            <w:right w:w="108" w:type="dxa"/>
          </w:tblCellMar>
        </w:tblPrEx>
        <w:trPr>
          <w:cantSplit/>
          <w:trHeight w:val="2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BD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A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3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27434023">
        <w:tblPrEx>
          <w:tblCellMar>
            <w:top w:w="0" w:type="dxa"/>
            <w:left w:w="108" w:type="dxa"/>
            <w:bottom w:w="0" w:type="dxa"/>
            <w:right w:w="108" w:type="dxa"/>
          </w:tblCellMar>
        </w:tblPrEx>
        <w:trPr>
          <w:cantSplit/>
          <w:trHeight w:val="17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8B5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C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E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A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DC83D3F">
        <w:tblPrEx>
          <w:tblCellMar>
            <w:top w:w="0" w:type="dxa"/>
            <w:left w:w="108" w:type="dxa"/>
            <w:bottom w:w="0" w:type="dxa"/>
            <w:right w:w="108" w:type="dxa"/>
          </w:tblCellMar>
        </w:tblPrEx>
        <w:trPr>
          <w:cantSplit/>
          <w:trHeight w:val="25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65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C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B9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3FADFF5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59D5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七、生态环保（9项）</w:t>
            </w:r>
          </w:p>
        </w:tc>
      </w:tr>
      <w:tr w14:paraId="5A1B30D4">
        <w:tblPrEx>
          <w:tblCellMar>
            <w:top w:w="0" w:type="dxa"/>
            <w:left w:w="108" w:type="dxa"/>
            <w:bottom w:w="0" w:type="dxa"/>
            <w:right w:w="108" w:type="dxa"/>
          </w:tblCellMar>
        </w:tblPrEx>
        <w:trPr>
          <w:cantSplit/>
          <w:trHeight w:val="43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081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5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9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w:t>
            </w:r>
          </w:p>
          <w:p w14:paraId="1FCB7C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251965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B1ED3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C2790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83F7B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w:t>
            </w:r>
          </w:p>
          <w:p w14:paraId="77FB7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7FCC529">
        <w:tblPrEx>
          <w:tblCellMar>
            <w:top w:w="0" w:type="dxa"/>
            <w:left w:w="108" w:type="dxa"/>
            <w:bottom w:w="0" w:type="dxa"/>
            <w:right w:w="108" w:type="dxa"/>
          </w:tblCellMar>
        </w:tblPrEx>
        <w:trPr>
          <w:cantSplit/>
          <w:trHeight w:val="19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68E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4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7BE7A77">
        <w:tblPrEx>
          <w:tblCellMar>
            <w:top w:w="0" w:type="dxa"/>
            <w:left w:w="108" w:type="dxa"/>
            <w:bottom w:w="0" w:type="dxa"/>
            <w:right w:w="108" w:type="dxa"/>
          </w:tblCellMar>
        </w:tblPrEx>
        <w:trPr>
          <w:cantSplit/>
          <w:trHeight w:val="16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58F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28A1764">
        <w:tblPrEx>
          <w:tblCellMar>
            <w:top w:w="0" w:type="dxa"/>
            <w:left w:w="108" w:type="dxa"/>
            <w:bottom w:w="0" w:type="dxa"/>
            <w:right w:w="108" w:type="dxa"/>
          </w:tblCellMar>
        </w:tblPrEx>
        <w:trPr>
          <w:cantSplit/>
          <w:trHeight w:val="19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73D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08DCBCD3">
        <w:tblPrEx>
          <w:tblCellMar>
            <w:top w:w="0" w:type="dxa"/>
            <w:left w:w="108" w:type="dxa"/>
            <w:bottom w:w="0" w:type="dxa"/>
            <w:right w:w="108" w:type="dxa"/>
          </w:tblCellMar>
        </w:tblPrEx>
        <w:trPr>
          <w:cantSplit/>
          <w:trHeight w:val="26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265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01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1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C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028A734F">
        <w:tblPrEx>
          <w:tblCellMar>
            <w:top w:w="0" w:type="dxa"/>
            <w:left w:w="108" w:type="dxa"/>
            <w:bottom w:w="0" w:type="dxa"/>
            <w:right w:w="108" w:type="dxa"/>
          </w:tblCellMar>
        </w:tblPrEx>
        <w:trPr>
          <w:cantSplit/>
          <w:trHeight w:val="81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0E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5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C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w:t>
            </w:r>
          </w:p>
          <w:p w14:paraId="620F59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E73F1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16B8D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82534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6F938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B8BD7ED">
        <w:tblPrEx>
          <w:tblCellMar>
            <w:top w:w="0" w:type="dxa"/>
            <w:left w:w="108" w:type="dxa"/>
            <w:bottom w:w="0" w:type="dxa"/>
            <w:right w:w="108" w:type="dxa"/>
          </w:tblCellMar>
        </w:tblPrEx>
        <w:trPr>
          <w:cantSplit/>
          <w:trHeight w:val="27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F8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2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9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43F32DA4">
        <w:tblPrEx>
          <w:tblCellMar>
            <w:top w:w="0" w:type="dxa"/>
            <w:left w:w="108" w:type="dxa"/>
            <w:bottom w:w="0" w:type="dxa"/>
            <w:right w:w="108" w:type="dxa"/>
          </w:tblCellMar>
        </w:tblPrEx>
        <w:trPr>
          <w:cantSplit/>
          <w:trHeight w:val="31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B9F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8E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w:t>
            </w:r>
          </w:p>
          <w:p w14:paraId="77EBA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9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3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50D337C">
        <w:tblPrEx>
          <w:tblCellMar>
            <w:top w:w="0" w:type="dxa"/>
            <w:left w:w="108" w:type="dxa"/>
            <w:bottom w:w="0" w:type="dxa"/>
            <w:right w:w="108" w:type="dxa"/>
          </w:tblCellMar>
        </w:tblPrEx>
        <w:trPr>
          <w:cantSplit/>
          <w:trHeight w:val="21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F3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7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2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42F63DB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761B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八、城乡建设（10项）</w:t>
            </w:r>
          </w:p>
        </w:tc>
      </w:tr>
      <w:tr w14:paraId="726EA66E">
        <w:tblPrEx>
          <w:tblCellMar>
            <w:top w:w="0" w:type="dxa"/>
            <w:left w:w="108" w:type="dxa"/>
            <w:bottom w:w="0" w:type="dxa"/>
            <w:right w:w="108" w:type="dxa"/>
          </w:tblCellMar>
        </w:tblPrEx>
        <w:trPr>
          <w:cantSplit/>
          <w:trHeight w:val="48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F5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1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58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2E94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67634CDF">
        <w:tblPrEx>
          <w:tblCellMar>
            <w:top w:w="0" w:type="dxa"/>
            <w:left w:w="108" w:type="dxa"/>
            <w:bottom w:w="0" w:type="dxa"/>
            <w:right w:w="108" w:type="dxa"/>
          </w:tblCellMar>
        </w:tblPrEx>
        <w:trPr>
          <w:cantSplit/>
          <w:trHeight w:val="27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F29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5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D9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9CA5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E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3E1D19CE">
        <w:tblPrEx>
          <w:tblCellMar>
            <w:top w:w="0" w:type="dxa"/>
            <w:left w:w="108" w:type="dxa"/>
            <w:bottom w:w="0" w:type="dxa"/>
            <w:right w:w="108" w:type="dxa"/>
          </w:tblCellMar>
        </w:tblPrEx>
        <w:trPr>
          <w:cantSplit/>
          <w:trHeight w:val="80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007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42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D9A5D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DF76C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79852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6111E5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C0502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w:t>
            </w:r>
          </w:p>
          <w:p w14:paraId="71F944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管理局</w:t>
            </w:r>
          </w:p>
          <w:p w14:paraId="25002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BF70FED">
        <w:tblPrEx>
          <w:tblCellMar>
            <w:top w:w="0" w:type="dxa"/>
            <w:left w:w="108" w:type="dxa"/>
            <w:bottom w:w="0" w:type="dxa"/>
            <w:right w:w="108" w:type="dxa"/>
          </w:tblCellMar>
        </w:tblPrEx>
        <w:trPr>
          <w:cantSplit/>
          <w:trHeight w:val="20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CA9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0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8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408B991B">
        <w:tblPrEx>
          <w:tblCellMar>
            <w:top w:w="0" w:type="dxa"/>
            <w:left w:w="108" w:type="dxa"/>
            <w:bottom w:w="0" w:type="dxa"/>
            <w:right w:w="108" w:type="dxa"/>
          </w:tblCellMar>
        </w:tblPrEx>
        <w:trPr>
          <w:cantSplit/>
          <w:trHeight w:val="30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31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D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A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C553A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5589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1.县自然资源局负责“办证难”台账房屋大照首次登记办理工作，负责协调调度全县“办证难”台账小照统计汇总工作；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2.县住房和城乡建设局负责协调推进“停缓建、保交楼”工作，负责汇总上报“停缓建、保交楼”总体推进工作情况。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A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1.配合做好“办证难”台账房屋小照信息核对工作并上报；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2.做好“办证难”“停缓建、保交楼”群众疏导工作。</w:t>
            </w:r>
          </w:p>
        </w:tc>
      </w:tr>
      <w:tr w14:paraId="12EB82BD">
        <w:tblPrEx>
          <w:tblCellMar>
            <w:top w:w="0" w:type="dxa"/>
            <w:left w:w="108" w:type="dxa"/>
            <w:bottom w:w="0" w:type="dxa"/>
            <w:right w:w="108" w:type="dxa"/>
          </w:tblCellMar>
        </w:tblPrEx>
        <w:trPr>
          <w:cantSplit/>
          <w:trHeight w:val="30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CB1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B3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县发展和改革局县工业和</w:t>
            </w:r>
          </w:p>
          <w:p w14:paraId="585BCB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296D84C">
        <w:tblPrEx>
          <w:tblCellMar>
            <w:top w:w="0" w:type="dxa"/>
            <w:left w:w="108" w:type="dxa"/>
            <w:bottom w:w="0" w:type="dxa"/>
            <w:right w:w="108" w:type="dxa"/>
          </w:tblCellMar>
        </w:tblPrEx>
        <w:trPr>
          <w:cantSplit/>
          <w:trHeight w:val="79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5F6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3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28AB43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县消防救援大队县委社会工作部县财政局</w:t>
            </w:r>
          </w:p>
          <w:p w14:paraId="1677135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D23C2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02122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0986BF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70E3A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04D47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C5A45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48AFA9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ACBFC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61B9D4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412E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A23">
            <w:pPr>
              <w:widowControl/>
              <w:numPr>
                <w:ilvl w:val="0"/>
                <w:numId w:val="2"/>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5F1C0CEC">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6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57289E2C">
        <w:tblPrEx>
          <w:tblCellMar>
            <w:top w:w="0" w:type="dxa"/>
            <w:left w:w="108" w:type="dxa"/>
            <w:bottom w:w="0" w:type="dxa"/>
            <w:right w:w="108" w:type="dxa"/>
          </w:tblCellMar>
        </w:tblPrEx>
        <w:trPr>
          <w:cantSplit/>
          <w:trHeight w:val="34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AD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7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2E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6B7CE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C3BC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391B9D06">
        <w:tblPrEx>
          <w:tblCellMar>
            <w:top w:w="0" w:type="dxa"/>
            <w:left w:w="108" w:type="dxa"/>
            <w:bottom w:w="0" w:type="dxa"/>
            <w:right w:w="108" w:type="dxa"/>
          </w:tblCellMar>
        </w:tblPrEx>
        <w:trPr>
          <w:cantSplit/>
          <w:trHeight w:val="28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1E5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A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7BE128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950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F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297ED80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0F02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九、文化和旅游（5项）</w:t>
            </w:r>
          </w:p>
        </w:tc>
      </w:tr>
      <w:tr w14:paraId="703A08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3CB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84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F566D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6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4B786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61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4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E58E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121D56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000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7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A5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621C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B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5BA8BF6F">
        <w:tblPrEx>
          <w:tblCellMar>
            <w:top w:w="0" w:type="dxa"/>
            <w:left w:w="108" w:type="dxa"/>
            <w:bottom w:w="0" w:type="dxa"/>
            <w:right w:w="108" w:type="dxa"/>
          </w:tblCellMar>
        </w:tblPrEx>
        <w:trPr>
          <w:cantSplit/>
          <w:trHeight w:val="20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B61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7D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47FF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8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E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0C2AE215">
        <w:tblPrEx>
          <w:tblCellMar>
            <w:top w:w="0" w:type="dxa"/>
            <w:left w:w="108" w:type="dxa"/>
            <w:bottom w:w="0" w:type="dxa"/>
            <w:right w:w="108" w:type="dxa"/>
          </w:tblCellMar>
        </w:tblPrEx>
        <w:trPr>
          <w:cantSplit/>
          <w:trHeight w:val="32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06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91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ECBE5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07AFAC21">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C210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53138A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09A6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十、卫生健康（6项）</w:t>
            </w:r>
          </w:p>
        </w:tc>
      </w:tr>
      <w:tr w14:paraId="54672E09">
        <w:tblPrEx>
          <w:tblCellMar>
            <w:top w:w="0" w:type="dxa"/>
            <w:left w:w="108" w:type="dxa"/>
            <w:bottom w:w="0" w:type="dxa"/>
            <w:right w:w="108" w:type="dxa"/>
          </w:tblCellMar>
        </w:tblPrEx>
        <w:trPr>
          <w:cantSplit/>
          <w:trHeight w:val="24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F7A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D25B0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303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5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F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81D6A1A">
        <w:tblPrEx>
          <w:tblCellMar>
            <w:top w:w="0" w:type="dxa"/>
            <w:left w:w="108" w:type="dxa"/>
            <w:bottom w:w="0" w:type="dxa"/>
            <w:right w:w="108" w:type="dxa"/>
          </w:tblCellMar>
        </w:tblPrEx>
        <w:trPr>
          <w:cantSplit/>
          <w:trHeight w:val="23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4DD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A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5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0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4C752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43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B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6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2B2FE10">
        <w:tblPrEx>
          <w:tblCellMar>
            <w:top w:w="0" w:type="dxa"/>
            <w:left w:w="108" w:type="dxa"/>
            <w:bottom w:w="0" w:type="dxa"/>
            <w:right w:w="108" w:type="dxa"/>
          </w:tblCellMar>
        </w:tblPrEx>
        <w:trPr>
          <w:cantSplit/>
          <w:trHeight w:val="19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298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A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D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B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5C843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51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10F2E07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2F3B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十一、应急管理及消防（11项）</w:t>
            </w:r>
          </w:p>
        </w:tc>
      </w:tr>
      <w:tr w14:paraId="39A38B82">
        <w:tblPrEx>
          <w:tblCellMar>
            <w:top w:w="0" w:type="dxa"/>
            <w:left w:w="108" w:type="dxa"/>
            <w:bottom w:w="0" w:type="dxa"/>
            <w:right w:w="108" w:type="dxa"/>
          </w:tblCellMar>
        </w:tblPrEx>
        <w:trPr>
          <w:cantSplit/>
          <w:trHeight w:val="1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71A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7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B3A5B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2E4E38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748BE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A6033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CC12D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054D9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80C2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E24D9DE">
        <w:tblPrEx>
          <w:tblCellMar>
            <w:top w:w="0" w:type="dxa"/>
            <w:left w:w="108" w:type="dxa"/>
            <w:bottom w:w="0" w:type="dxa"/>
            <w:right w:w="108" w:type="dxa"/>
          </w:tblCellMar>
        </w:tblPrEx>
        <w:trPr>
          <w:cantSplit/>
          <w:trHeight w:val="4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7D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D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2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25D02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E642E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76F7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F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8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18221A">
        <w:tblPrEx>
          <w:tblCellMar>
            <w:top w:w="0" w:type="dxa"/>
            <w:left w:w="108" w:type="dxa"/>
            <w:bottom w:w="0" w:type="dxa"/>
            <w:right w:w="108" w:type="dxa"/>
          </w:tblCellMar>
        </w:tblPrEx>
        <w:trPr>
          <w:cantSplit/>
          <w:trHeight w:val="29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7EC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0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E0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6857B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DD62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0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35FAFF9">
        <w:tblPrEx>
          <w:tblCellMar>
            <w:top w:w="0" w:type="dxa"/>
            <w:left w:w="108" w:type="dxa"/>
            <w:bottom w:w="0" w:type="dxa"/>
            <w:right w:w="108" w:type="dxa"/>
          </w:tblCellMar>
        </w:tblPrEx>
        <w:trPr>
          <w:cantSplit/>
          <w:trHeight w:val="82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F95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B7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县消防救援大队县应急</w:t>
            </w:r>
            <w:r>
              <w:rPr>
                <w:rFonts w:hint="eastAsia" w:ascii="Times New Roman" w:hAnsi="方正公文仿宋" w:eastAsia="方正公文仿宋"/>
                <w:kern w:val="0"/>
                <w:szCs w:val="21"/>
                <w:lang w:val="en-US" w:eastAsia="zh-CN" w:bidi="ar"/>
              </w:rPr>
              <w:t>管理</w:t>
            </w:r>
            <w:r>
              <w:rPr>
                <w:rFonts w:hint="eastAsia" w:ascii="Times New Roman" w:hAnsi="方正公文仿宋" w:eastAsia="方正公文仿宋"/>
                <w:kern w:val="0"/>
                <w:szCs w:val="21"/>
                <w:lang w:bidi="ar"/>
              </w:rPr>
              <w:t>局</w:t>
            </w:r>
          </w:p>
          <w:p w14:paraId="5F5CC0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6852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55B73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1A34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C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84D3CE3">
        <w:tblPrEx>
          <w:tblCellMar>
            <w:top w:w="0" w:type="dxa"/>
            <w:left w:w="108" w:type="dxa"/>
            <w:bottom w:w="0" w:type="dxa"/>
            <w:right w:w="108" w:type="dxa"/>
          </w:tblCellMar>
        </w:tblPrEx>
        <w:trPr>
          <w:cantSplit/>
          <w:trHeight w:val="3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8D7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18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县消防救援大队县公安局</w:t>
            </w:r>
          </w:p>
          <w:p w14:paraId="7273D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D6B8880">
        <w:tblPrEx>
          <w:tblCellMar>
            <w:top w:w="0" w:type="dxa"/>
            <w:left w:w="108" w:type="dxa"/>
            <w:bottom w:w="0" w:type="dxa"/>
            <w:right w:w="108" w:type="dxa"/>
          </w:tblCellMar>
        </w:tblPrEx>
        <w:trPr>
          <w:cantSplit/>
          <w:trHeight w:val="50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814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6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8B8D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82CC40">
        <w:tblPrEx>
          <w:tblCellMar>
            <w:top w:w="0" w:type="dxa"/>
            <w:left w:w="108" w:type="dxa"/>
            <w:bottom w:w="0" w:type="dxa"/>
            <w:right w:w="108" w:type="dxa"/>
          </w:tblCellMar>
        </w:tblPrEx>
        <w:trPr>
          <w:cantSplit/>
          <w:trHeight w:val="29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18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7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县消防救援大队县住房和城乡</w:t>
            </w:r>
          </w:p>
          <w:p w14:paraId="1BF34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223EBFBC">
        <w:tblPrEx>
          <w:tblCellMar>
            <w:top w:w="0" w:type="dxa"/>
            <w:left w:w="108" w:type="dxa"/>
            <w:bottom w:w="0" w:type="dxa"/>
            <w:right w:w="108" w:type="dxa"/>
          </w:tblCellMar>
        </w:tblPrEx>
        <w:trPr>
          <w:cantSplit/>
          <w:trHeight w:val="27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E5B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7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9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C592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7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15E6EDF3">
        <w:tblPrEx>
          <w:tblCellMar>
            <w:top w:w="0" w:type="dxa"/>
            <w:left w:w="108" w:type="dxa"/>
            <w:bottom w:w="0" w:type="dxa"/>
            <w:right w:w="108" w:type="dxa"/>
          </w:tblCellMar>
        </w:tblPrEx>
        <w:trPr>
          <w:cantSplit/>
          <w:trHeight w:val="2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A2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8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77224C16">
        <w:tblPrEx>
          <w:tblCellMar>
            <w:top w:w="0" w:type="dxa"/>
            <w:left w:w="108" w:type="dxa"/>
            <w:bottom w:w="0" w:type="dxa"/>
            <w:right w:w="108" w:type="dxa"/>
          </w:tblCellMar>
        </w:tblPrEx>
        <w:trPr>
          <w:cantSplit/>
          <w:trHeight w:val="39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0C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8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0E0D8DDB">
        <w:tblPrEx>
          <w:tblCellMar>
            <w:top w:w="0" w:type="dxa"/>
            <w:left w:w="108" w:type="dxa"/>
            <w:bottom w:w="0" w:type="dxa"/>
            <w:right w:w="108" w:type="dxa"/>
          </w:tblCellMar>
        </w:tblPrEx>
        <w:trPr>
          <w:cantSplit/>
          <w:trHeight w:val="18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B85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37894B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48C1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十二、教育培训监管（2项）</w:t>
            </w:r>
          </w:p>
        </w:tc>
      </w:tr>
      <w:tr w14:paraId="104D9B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DE0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9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8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8A6E50A">
        <w:tblPrEx>
          <w:tblCellMar>
            <w:top w:w="0" w:type="dxa"/>
            <w:left w:w="108" w:type="dxa"/>
            <w:bottom w:w="0" w:type="dxa"/>
            <w:right w:w="108" w:type="dxa"/>
          </w:tblCellMar>
        </w:tblPrEx>
        <w:trPr>
          <w:cantSplit/>
          <w:trHeight w:val="47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469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5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8D7C6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DD5BA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90DE0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9AB68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675C933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216F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0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7017E7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59FD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十三、市场监管（4项）</w:t>
            </w:r>
          </w:p>
        </w:tc>
      </w:tr>
      <w:tr w14:paraId="518CC23C">
        <w:tblPrEx>
          <w:tblCellMar>
            <w:top w:w="0" w:type="dxa"/>
            <w:left w:w="108" w:type="dxa"/>
            <w:bottom w:w="0" w:type="dxa"/>
            <w:right w:w="108" w:type="dxa"/>
          </w:tblCellMar>
        </w:tblPrEx>
        <w:trPr>
          <w:cantSplit/>
          <w:trHeight w:val="29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0AE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D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6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2B36C453">
        <w:tblPrEx>
          <w:tblCellMar>
            <w:top w:w="0" w:type="dxa"/>
            <w:left w:w="108" w:type="dxa"/>
            <w:bottom w:w="0" w:type="dxa"/>
            <w:right w:w="108" w:type="dxa"/>
          </w:tblCellMar>
        </w:tblPrEx>
        <w:trPr>
          <w:cantSplit/>
          <w:trHeight w:val="26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9EA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B9FAF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2AB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5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40B4FE6">
        <w:tblPrEx>
          <w:tblCellMar>
            <w:top w:w="0" w:type="dxa"/>
            <w:left w:w="108" w:type="dxa"/>
            <w:bottom w:w="0" w:type="dxa"/>
            <w:right w:w="108" w:type="dxa"/>
          </w:tblCellMar>
        </w:tblPrEx>
        <w:trPr>
          <w:cantSplit/>
          <w:trHeight w:val="24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12F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D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468A61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4A0C664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4B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C15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F1F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57B88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43A3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一、民生服务（3项）</w:t>
            </w:r>
          </w:p>
        </w:tc>
      </w:tr>
      <w:tr w14:paraId="65C4B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8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5A29C1D8">
        <w:tblPrEx>
          <w:tblCellMar>
            <w:top w:w="0" w:type="dxa"/>
            <w:left w:w="108" w:type="dxa"/>
            <w:bottom w:w="0" w:type="dxa"/>
            <w:right w:w="108" w:type="dxa"/>
          </w:tblCellMar>
        </w:tblPrEx>
        <w:trPr>
          <w:cantSplit/>
          <w:trHeight w:val="7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2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7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99D43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C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CA72D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3B5C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二、平安法治（2项）</w:t>
            </w:r>
          </w:p>
        </w:tc>
      </w:tr>
      <w:tr w14:paraId="3203A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0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2B61C87C">
        <w:tblPrEx>
          <w:tblCellMar>
            <w:top w:w="0" w:type="dxa"/>
            <w:left w:w="108" w:type="dxa"/>
            <w:bottom w:w="0" w:type="dxa"/>
            <w:right w:w="108" w:type="dxa"/>
          </w:tblCellMar>
        </w:tblPrEx>
        <w:trPr>
          <w:cantSplit/>
          <w:trHeight w:val="12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5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00D61B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134A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三、乡村振兴（7项）</w:t>
            </w:r>
          </w:p>
        </w:tc>
      </w:tr>
      <w:tr w14:paraId="56177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C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0CF159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DF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B7F6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1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0DA4B5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0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2E82E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7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72D01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8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8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720E1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9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CECFE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4FE2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四、社会管理（2项）</w:t>
            </w:r>
          </w:p>
        </w:tc>
      </w:tr>
      <w:tr w14:paraId="02C48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0CC6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3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59A2EC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5CDE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五、社会保障（14项）</w:t>
            </w:r>
          </w:p>
        </w:tc>
      </w:tr>
      <w:tr w14:paraId="2EBA7F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33DAE3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0D33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0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4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48183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4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2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D0E69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FC5B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4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337F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0AE09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62B7F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B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3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518923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9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6EBF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1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D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E691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9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6A6B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8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0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985E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B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84E46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B78B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六、自然资源（5项）</w:t>
            </w:r>
          </w:p>
        </w:tc>
      </w:tr>
      <w:tr w14:paraId="7EE45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D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0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0384C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1F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2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6F48B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2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5F6DA5E">
        <w:tblPrEx>
          <w:tblCellMar>
            <w:top w:w="0" w:type="dxa"/>
            <w:left w:w="108" w:type="dxa"/>
            <w:bottom w:w="0" w:type="dxa"/>
            <w:right w:w="108" w:type="dxa"/>
          </w:tblCellMar>
        </w:tblPrEx>
        <w:trPr>
          <w:cantSplit/>
          <w:trHeight w:val="16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739A706">
        <w:tblPrEx>
          <w:tblCellMar>
            <w:top w:w="0" w:type="dxa"/>
            <w:left w:w="108" w:type="dxa"/>
            <w:bottom w:w="0" w:type="dxa"/>
            <w:right w:w="108" w:type="dxa"/>
          </w:tblCellMar>
        </w:tblPrEx>
        <w:trPr>
          <w:cantSplit/>
          <w:trHeight w:val="22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F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7E7BAC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9EC9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20507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D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7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DBFA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B736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5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4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4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5BEEBF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B270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八、城乡建设（4项）</w:t>
            </w:r>
          </w:p>
        </w:tc>
      </w:tr>
      <w:tr w14:paraId="1B16FB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46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364CF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C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9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F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41CCD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9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0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778C5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4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7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2770E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DDE7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九、卫生健康（8项）</w:t>
            </w:r>
          </w:p>
        </w:tc>
      </w:tr>
      <w:tr w14:paraId="4A32D4A8">
        <w:tblPrEx>
          <w:tblCellMar>
            <w:top w:w="0" w:type="dxa"/>
            <w:left w:w="108" w:type="dxa"/>
            <w:bottom w:w="0" w:type="dxa"/>
            <w:right w:w="108" w:type="dxa"/>
          </w:tblCellMar>
        </w:tblPrEx>
        <w:trPr>
          <w:cantSplit/>
          <w:trHeight w:val="17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76FA1F8">
        <w:tblPrEx>
          <w:tblCellMar>
            <w:top w:w="0" w:type="dxa"/>
            <w:left w:w="108" w:type="dxa"/>
            <w:bottom w:w="0" w:type="dxa"/>
            <w:right w:w="108" w:type="dxa"/>
          </w:tblCellMar>
        </w:tblPrEx>
        <w:trPr>
          <w:cantSplit/>
          <w:trHeight w:val="21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9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D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5B8648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E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3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8757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4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6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77BAA1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5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F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F2A71F1">
        <w:tblPrEx>
          <w:tblCellMar>
            <w:top w:w="0" w:type="dxa"/>
            <w:left w:w="108" w:type="dxa"/>
            <w:bottom w:w="0" w:type="dxa"/>
            <w:right w:w="108" w:type="dxa"/>
          </w:tblCellMar>
        </w:tblPrEx>
        <w:trPr>
          <w:cantSplit/>
          <w:trHeight w:val="9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353D4C2">
        <w:tblPrEx>
          <w:tblCellMar>
            <w:top w:w="0" w:type="dxa"/>
            <w:left w:w="108" w:type="dxa"/>
            <w:bottom w:w="0" w:type="dxa"/>
            <w:right w:w="108" w:type="dxa"/>
          </w:tblCellMar>
        </w:tblPrEx>
        <w:trPr>
          <w:cantSplit/>
          <w:trHeight w:val="9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84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9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823101">
        <w:tblPrEx>
          <w:tblCellMar>
            <w:top w:w="0" w:type="dxa"/>
            <w:left w:w="108" w:type="dxa"/>
            <w:bottom w:w="0" w:type="dxa"/>
            <w:right w:w="108" w:type="dxa"/>
          </w:tblCellMar>
        </w:tblPrEx>
        <w:trPr>
          <w:cantSplit/>
          <w:trHeight w:val="11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FD02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BBC5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十、应急管理及消防（6项）</w:t>
            </w:r>
          </w:p>
        </w:tc>
      </w:tr>
      <w:tr w14:paraId="15A91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D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D547034">
        <w:tblPrEx>
          <w:tblCellMar>
            <w:top w:w="0" w:type="dxa"/>
            <w:left w:w="108" w:type="dxa"/>
            <w:bottom w:w="0" w:type="dxa"/>
            <w:right w:w="108" w:type="dxa"/>
          </w:tblCellMar>
        </w:tblPrEx>
        <w:trPr>
          <w:cantSplit/>
          <w:trHeight w:val="331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337C8EB7">
        <w:tblPrEx>
          <w:tblCellMar>
            <w:top w:w="0" w:type="dxa"/>
            <w:left w:w="108" w:type="dxa"/>
            <w:bottom w:w="0" w:type="dxa"/>
            <w:right w:w="108" w:type="dxa"/>
          </w:tblCellMar>
        </w:tblPrEx>
        <w:trPr>
          <w:cantSplit/>
          <w:trHeight w:val="2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9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6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56D4FB1A">
        <w:tblPrEx>
          <w:tblCellMar>
            <w:top w:w="0" w:type="dxa"/>
            <w:left w:w="108" w:type="dxa"/>
            <w:bottom w:w="0" w:type="dxa"/>
            <w:right w:w="108" w:type="dxa"/>
          </w:tblCellMar>
        </w:tblPrEx>
        <w:trPr>
          <w:cantSplit/>
          <w:trHeight w:val="23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7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3D949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8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45A5307">
        <w:tblPrEx>
          <w:tblCellMar>
            <w:top w:w="0" w:type="dxa"/>
            <w:left w:w="108" w:type="dxa"/>
            <w:bottom w:w="0" w:type="dxa"/>
            <w:right w:w="108" w:type="dxa"/>
          </w:tblCellMar>
        </w:tblPrEx>
        <w:trPr>
          <w:cantSplit/>
          <w:trHeight w:val="12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4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7A7FFF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60C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十一、市场监管（2项）</w:t>
            </w:r>
          </w:p>
        </w:tc>
      </w:tr>
      <w:tr w14:paraId="1BA2CFCF">
        <w:tblPrEx>
          <w:tblCellMar>
            <w:top w:w="0" w:type="dxa"/>
            <w:left w:w="108" w:type="dxa"/>
            <w:bottom w:w="0" w:type="dxa"/>
            <w:right w:w="108" w:type="dxa"/>
          </w:tblCellMar>
        </w:tblPrEx>
        <w:trPr>
          <w:cantSplit/>
          <w:trHeight w:val="26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4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3E06C1E">
        <w:tblPrEx>
          <w:tblCellMar>
            <w:top w:w="0" w:type="dxa"/>
            <w:left w:w="108" w:type="dxa"/>
            <w:bottom w:w="0" w:type="dxa"/>
            <w:right w:w="108" w:type="dxa"/>
          </w:tblCellMar>
        </w:tblPrEx>
        <w:trPr>
          <w:cantSplit/>
          <w:trHeight w:val="23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CDC2B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B51E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十二、教育培训监管（3项）</w:t>
            </w:r>
          </w:p>
        </w:tc>
      </w:tr>
      <w:tr w14:paraId="03B3E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F404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A09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8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37F2DF2E">
      <w:pPr>
        <w:pStyle w:val="3"/>
        <w:spacing w:before="0" w:after="0" w:line="240" w:lineRule="auto"/>
        <w:jc w:val="center"/>
        <w:rPr>
          <w:rFonts w:ascii="Times New Roman" w:hAnsi="Times New Roman" w:eastAsia="方正小标宋_GBK" w:cs="Times New Roman"/>
          <w:color w:val="auto"/>
          <w:spacing w:val="7"/>
          <w:lang w:eastAsia="zh-CN"/>
        </w:rPr>
      </w:pPr>
    </w:p>
    <w:p w14:paraId="00D5184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0FDC81-D7D0-4BE4-B7DE-3A0232B78D6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8490298-DF53-4967-B567-FD67053D1B73}"/>
  </w:font>
  <w:font w:name="Cambria">
    <w:panose1 w:val="02040503050406030204"/>
    <w:charset w:val="00"/>
    <w:family w:val="roman"/>
    <w:pitch w:val="default"/>
    <w:sig w:usb0="E00006FF" w:usb1="420024FF" w:usb2="02000000" w:usb3="00000000" w:csb0="2000019F" w:csb1="00000000"/>
  </w:font>
  <w:font w:name="方正公文仿宋">
    <w:panose1 w:val="02000500000000000000"/>
    <w:charset w:val="86"/>
    <w:family w:val="auto"/>
    <w:pitch w:val="default"/>
    <w:sig w:usb0="A00002BF" w:usb1="38CF7CFA" w:usb2="00000016" w:usb3="00000000" w:csb0="00040001" w:csb1="00000000"/>
    <w:embedRegular r:id="rId3" w:fontKey="{693D5FA3-AF2F-43F0-B346-952320CCEFAD}"/>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B8AA8F98-9DB0-4F6C-946A-C5F0F49F5F99}"/>
  </w:font>
  <w:font w:name="方正小标宋_GBK">
    <w:panose1 w:val="03000509000000000000"/>
    <w:charset w:val="86"/>
    <w:family w:val="script"/>
    <w:pitch w:val="default"/>
    <w:sig w:usb0="00000001" w:usb1="080E0000" w:usb2="00000000" w:usb3="00000000" w:csb0="00040000" w:csb1="00000000"/>
    <w:embedRegular r:id="rId5" w:fontKey="{376E1322-E8F6-4453-B70F-50448563B705}"/>
  </w:font>
  <w:font w:name="方正公文黑体">
    <w:altName w:val="黑体"/>
    <w:panose1 w:val="02000000000000000000"/>
    <w:charset w:val="86"/>
    <w:family w:val="auto"/>
    <w:pitch w:val="default"/>
    <w:sig w:usb0="00000000" w:usb1="00000000" w:usb2="00000010" w:usb3="00000000" w:csb0="00040000" w:csb1="00000000"/>
    <w:embedRegular r:id="rId6" w:fontKey="{0BF44C31-C27F-40D5-A35C-2863462FB816}"/>
  </w:font>
  <w:font w:name="方正仿宋简体">
    <w:altName w:val="微软雅黑"/>
    <w:panose1 w:val="00000000000000000000"/>
    <w:charset w:val="86"/>
    <w:family w:val="auto"/>
    <w:pitch w:val="default"/>
    <w:sig w:usb0="00000000" w:usb1="00000000" w:usb2="00000000" w:usb3="00000000" w:csb0="00040000" w:csb1="00000000"/>
    <w:embedRegular r:id="rId7" w:fontKey="{00738672-797F-44C8-8EEB-89D93512E4D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DF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BDC6828">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BDC6828">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474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ED019"/>
    <w:multiLevelType w:val="singleLevel"/>
    <w:tmpl w:val="096ED019"/>
    <w:lvl w:ilvl="0" w:tentative="0">
      <w:start w:val="1"/>
      <w:numFmt w:val="decimal"/>
      <w:suff w:val="nothing"/>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F76DEB"/>
    <w:rsid w:val="0D471D25"/>
    <w:rsid w:val="154542D3"/>
    <w:rsid w:val="181F6915"/>
    <w:rsid w:val="251364CD"/>
    <w:rsid w:val="2B7F0A04"/>
    <w:rsid w:val="313C491C"/>
    <w:rsid w:val="33174961"/>
    <w:rsid w:val="35942EE3"/>
    <w:rsid w:val="3EFD1975"/>
    <w:rsid w:val="41C9151C"/>
    <w:rsid w:val="44316F05"/>
    <w:rsid w:val="44625310"/>
    <w:rsid w:val="44E2415B"/>
    <w:rsid w:val="46195EA3"/>
    <w:rsid w:val="46582E6F"/>
    <w:rsid w:val="50E079A1"/>
    <w:rsid w:val="53E47AF0"/>
    <w:rsid w:val="558034DB"/>
    <w:rsid w:val="56694C24"/>
    <w:rsid w:val="5A742D1B"/>
    <w:rsid w:val="5C7C3B33"/>
    <w:rsid w:val="60385CED"/>
    <w:rsid w:val="633914DA"/>
    <w:rsid w:val="638B442C"/>
    <w:rsid w:val="649317EA"/>
    <w:rsid w:val="6EE92007"/>
    <w:rsid w:val="6EE95B85"/>
    <w:rsid w:val="6EF530A1"/>
    <w:rsid w:val="6F0230C8"/>
    <w:rsid w:val="712A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9"/>
    <w:pPr>
      <w:keepNext/>
      <w:keepLines/>
      <w:spacing w:line="576" w:lineRule="exact"/>
      <w:outlineLvl w:val="1"/>
    </w:pPr>
    <w:rPr>
      <w:rFonts w:ascii="Cambria" w:hAnsi="Cambria"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8">
    <w:name w:val="Title"/>
    <w:basedOn w:val="1"/>
    <w:next w:val="1"/>
    <w:link w:val="13"/>
    <w:qFormat/>
    <w:uiPriority w:val="0"/>
    <w:pPr>
      <w:spacing w:before="240" w:after="60"/>
      <w:jc w:val="center"/>
      <w:outlineLvl w:val="0"/>
    </w:pPr>
    <w:rPr>
      <w:b/>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8"/>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80</Words>
  <Characters>181</Characters>
  <Lines>1</Lines>
  <Paragraphs>1</Paragraphs>
  <TotalTime>0</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2025-07-30T06:19:44Z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E3CAA27ED24C4350BAFD9ECC81BCD855_13</vt:lpwstr>
  </property>
</Properties>
</file>