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04" w:lineRule="atLeast"/>
        <w:ind w:left="0" w:right="0" w:firstLine="0"/>
        <w:jc w:val="center"/>
        <w:rPr>
          <w:rFonts w:hint="eastAsia" w:ascii="微软雅黑" w:hAnsi="微软雅黑" w:eastAsia="微软雅黑" w:cs="微软雅黑"/>
          <w:i w:val="0"/>
          <w:iCs w:val="0"/>
          <w:caps w:val="0"/>
          <w:color w:val="BD1A2D"/>
          <w:spacing w:val="0"/>
          <w:sz w:val="38"/>
          <w:szCs w:val="38"/>
        </w:rPr>
      </w:pPr>
      <w:r>
        <w:rPr>
          <w:rFonts w:hint="eastAsia" w:ascii="微软雅黑" w:hAnsi="微软雅黑" w:eastAsia="微软雅黑" w:cs="微软雅黑"/>
          <w:i w:val="0"/>
          <w:iCs w:val="0"/>
          <w:caps w:val="0"/>
          <w:color w:val="BD1A2D"/>
          <w:spacing w:val="0"/>
          <w:sz w:val="38"/>
          <w:szCs w:val="38"/>
          <w:shd w:val="clear" w:fill="FFFFFF"/>
        </w:rPr>
        <w:t>辽</w:t>
      </w:r>
      <w:bookmarkStart w:id="0" w:name="_GoBack"/>
      <w:bookmarkEnd w:id="0"/>
      <w:r>
        <w:rPr>
          <w:rFonts w:hint="eastAsia" w:ascii="微软雅黑" w:hAnsi="微软雅黑" w:eastAsia="微软雅黑" w:cs="微软雅黑"/>
          <w:i w:val="0"/>
          <w:iCs w:val="0"/>
          <w:caps w:val="0"/>
          <w:color w:val="BD1A2D"/>
          <w:spacing w:val="0"/>
          <w:sz w:val="38"/>
          <w:szCs w:val="38"/>
          <w:shd w:val="clear" w:fill="FFFFFF"/>
        </w:rPr>
        <w:t>宁省养老服务通用政策</w:t>
      </w:r>
    </w:p>
    <w:tbl>
      <w:tblPr>
        <w:tblStyle w:val="4"/>
        <w:tblpPr w:leftFromText="180" w:rightFromText="180" w:vertAnchor="text" w:horzAnchor="page" w:tblpX="1808" w:tblpY="618"/>
        <w:tblOverlap w:val="never"/>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342"/>
        <w:gridCol w:w="4132"/>
        <w:gridCol w:w="2751"/>
        <w:gridCol w:w="108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序号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文件名</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发文部门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发文部门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辽宁省老年人权益保障条例</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省人民代表大会常务委员会公告（第55号）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省人大常委会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关于加快发展养老服务业的实施意见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辽政发〔2014〕4号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3</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关于加快养老服务业发展若干政策</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辽政办发〔2014〕46号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省政府办公厅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4</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关于推进医疗卫生与养老服务结合发展的实施意见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辽政办发〔2016〕56号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省政府办公厅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5</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关于进一步健全特困人员救助供养制度的实施意见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辽政发〔2016〕47号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6</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关于推进服务业供给侧结构性改革的实施意见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辽政发〔2016〕63号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7</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关于全面放开养老服务市场提升养老服务质量的实施意见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辽政办发〔2017〕94号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省政府办公厅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8</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关于制定和实施辽宁省老年人照顾服务项目的实施意见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辽政办发〔2018〕3号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省政府办公厅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9</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关于推进养老服务发展的实施意见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辽政办发〔2020〕11号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省政府办公厅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辽宁省农村困难家庭常年病人托管服务实施意见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辽民发〔2011〕5号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11</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关于对80至89周岁低收入老年人发放高龄津贴的通知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辽老龄办发〔2013〕52号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省老龄办等3部门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关于申报省财政养老机构责任保险费补贴资金有关问题的通知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辽民函〔2014〕69号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13</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关于建立经济困难的高龄 失能老年人养老服务补贴制度的通知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辽财社〔2015〕174号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省财政厅等3部门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14</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关于组织开展公办社会福利机构消防设施改造工作的通知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辽民函〔2015〕27号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省民政厅等3部门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15</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关于进一步做好经济困难的高龄 失能老年人养老服务补贴工作的通知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辽财社〔2016〕154号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省财政厅等3部门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16</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关于解决民政社会福利机构消防安全管理若干问题的意见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辽民发〔2016〕2号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省民政厅等4部门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17</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关于开展加强农村留守老年人关爱服务体系建设试点的通知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辽民福函〔2016〕79号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18</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辽宁省民政事业发展第十四个五年规划</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辽民发〔2021〕33号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19</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关于为全省城乡分散救助供养的特困老年人办理意外伤害保险的通知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辽老龄办发〔2017〕3号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省老龄办等3部门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关于印发辽宁省养老设施公建民营指导意见（试行）的通知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辽民发〔2017〕75号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21</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关于开展中医药健康养老服务试点和示范基地建设工作的通知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辽卫发〔2018〕10号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省卫计委等2部门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关于加快推进医疗机构与养老机构签约服务工作的通知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辽卫发〔2018〕24号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省卫计委等2部门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23</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关于开展老年服务与管理类专业毕业生入职养老服务机构补助工作的通知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辽民发〔2018〕88号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省民政厅等4部门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24</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关于加强农村留守老年人关爱服务工作的实施意见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辽民发〔2018〕90号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省民政厅等9部门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25</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关于进一步做好养老机构责任保险工作的通知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辽民发〔2018〕102号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省民政厅等4部门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26</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关于做好民办非营利性养老机构运营补贴工作的通知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辽民发〔2018〕94号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27</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关于做好申报养老机构责任保险费省级补助资金有关工作的通知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辽民福函〔2018〕232号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28</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关于提高60年代精简退职职工生活补助标准并建立自然增长机制的通知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辽民发〔2018〕124号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省民政厅等3部门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29</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辽宁省养老服务标准体系建设指南</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辽民发〔2018〕143号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30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关于实施特困人员供养服务设施（敬老院）改造提升工程的实施意见</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辽民发〔2019〕79号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jc w:val="both"/>
              <w:rPr>
                <w:sz w:val="19"/>
                <w:szCs w:val="19"/>
              </w:rPr>
            </w:pPr>
            <w:r>
              <w:rPr>
                <w:rFonts w:hint="eastAsia" w:ascii="微软雅黑" w:hAnsi="微软雅黑" w:eastAsia="微软雅黑" w:cs="微软雅黑"/>
                <w:i w:val="0"/>
                <w:iCs w:val="0"/>
                <w:caps w:val="0"/>
                <w:color w:val="2B3F59"/>
                <w:spacing w:val="0"/>
                <w:sz w:val="19"/>
                <w:szCs w:val="19"/>
              </w:rPr>
              <w:t>省民政厅等3部门</w:t>
            </w:r>
          </w:p>
        </w:tc>
      </w:tr>
    </w:tbl>
    <w:p>
      <w:pPr>
        <w:jc w:val="both"/>
        <w:rPr>
          <w:rFonts w:hint="eastAsia" w:ascii="微软雅黑" w:hAnsi="微软雅黑" w:eastAsia="微软雅黑" w:cs="微软雅黑"/>
          <w:i w:val="0"/>
          <w:iCs w:val="0"/>
          <w:caps w:val="0"/>
          <w:color w:val="2B3F59"/>
          <w:spacing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2C523A64"/>
    <w:rsid w:val="6ABC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fang'yuan</dc:creator>
  <cp:lastModifiedBy>涵涵，3周半</cp:lastModifiedBy>
  <dcterms:modified xsi:type="dcterms:W3CDTF">2023-10-16T05:54:30Z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DEBA062190BE4DF9B3048D0C88B2ED76_12</vt:lpwstr>
  </property>
</Properties>
</file>