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 w:line="504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8"/>
          <w:szCs w:val="3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38"/>
          <w:szCs w:val="3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特困人员保障标准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84" w:lineRule="atLeast"/>
        <w:ind w:left="0" w:right="180"/>
        <w:jc w:val="both"/>
        <w:rPr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　　按照《铁岭市人民政府办公室关于提高城乡居民最低生活保障、特困人员基本生活、孤儿基本生活养育和60年代精简退职职工生活补助标准的通知》（铁政办发〔2023〕12号）要求，从2023年7月1日起，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平安堡镇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B3F59"/>
          <w:spacing w:val="0"/>
          <w:sz w:val="19"/>
          <w:szCs w:val="19"/>
          <w:bdr w:val="none" w:color="auto" w:sz="0" w:space="0"/>
          <w:shd w:val="clear" w:fill="FFFFFF"/>
        </w:rPr>
        <w:t>城市特困人员保障月标准919元；农村居民特困人员保障年标准8364元。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401B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2023-10-13T05:14:49Z</dcterms:created>
  <dc:creator>fang'yuan</dc:creator>
  <cp:lastModifiedBy>涵涵，3周半</cp:lastModifiedBy>
  <dcterms:modified xsi:type="dcterms:W3CDTF">2023-10-13T05:16:45Z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DF896EBE01E74626BA5300AF1A923549_12</vt:lpwstr>
  </property>
</Properties>
</file>